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«Детский сад №221» г. Ярославля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Служба практической психологии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A54BE">
        <w:rPr>
          <w:rFonts w:ascii="Times New Roman" w:hAnsi="Times New Roman" w:cs="Times New Roman"/>
          <w:sz w:val="36"/>
          <w:szCs w:val="36"/>
        </w:rPr>
        <w:t>Направление деятельности:</w:t>
      </w:r>
      <w:r w:rsidRPr="000A54B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A54BE">
        <w:rPr>
          <w:rFonts w:ascii="Times New Roman" w:hAnsi="Times New Roman" w:cs="Times New Roman"/>
          <w:sz w:val="36"/>
          <w:szCs w:val="36"/>
        </w:rPr>
        <w:t>психологическое сопровождение перехода детей на новый образовательный уровень и адаптации на новом этапе обучения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A54BE">
        <w:rPr>
          <w:rFonts w:ascii="Times New Roman" w:hAnsi="Times New Roman" w:cs="Times New Roman"/>
          <w:b/>
          <w:sz w:val="72"/>
          <w:szCs w:val="72"/>
        </w:rPr>
        <w:t>ПСИХОЛОГИЧЕСКАЯ ГОТОВНОСТЬ ДЕТЕЙ К ОБУЧЕНИЮ В ШКОЛЕ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A54BE">
        <w:rPr>
          <w:rFonts w:ascii="Times New Roman" w:hAnsi="Times New Roman" w:cs="Times New Roman"/>
          <w:b/>
          <w:sz w:val="52"/>
          <w:szCs w:val="52"/>
        </w:rPr>
        <w:t>2018-2019 учебный год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P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A54BE" w:rsidRP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P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0A54BE" w:rsidRP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0A54BE">
        <w:rPr>
          <w:rFonts w:ascii="Times New Roman" w:hAnsi="Times New Roman" w:cs="Times New Roman"/>
          <w:sz w:val="36"/>
          <w:szCs w:val="36"/>
        </w:rPr>
        <w:t>Педагог-психолог                                                     И.А.Кузьмичева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A54BE">
        <w:rPr>
          <w:rFonts w:ascii="Times New Roman" w:hAnsi="Times New Roman" w:cs="Times New Roman"/>
          <w:b/>
          <w:sz w:val="36"/>
          <w:szCs w:val="36"/>
        </w:rPr>
        <w:br w:type="page"/>
      </w:r>
      <w:r w:rsidRPr="000A54B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готовности детей обучающихся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BE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№221» г.Ярославля к обучению в школе 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4BE">
        <w:rPr>
          <w:rFonts w:ascii="Times New Roman" w:hAnsi="Times New Roman" w:cs="Times New Roman"/>
          <w:b/>
          <w:color w:val="000000"/>
          <w:sz w:val="28"/>
          <w:szCs w:val="28"/>
        </w:rPr>
        <w:t>в 2018-2019 учебном году</w:t>
      </w:r>
    </w:p>
    <w:p w:rsidR="000A54BE" w:rsidRP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4BE">
        <w:rPr>
          <w:rFonts w:ascii="Times New Roman" w:hAnsi="Times New Roman" w:cs="Times New Roman"/>
          <w:b/>
          <w:sz w:val="28"/>
          <w:szCs w:val="28"/>
        </w:rPr>
        <w:tab/>
      </w:r>
      <w:r w:rsidRPr="000A54BE">
        <w:rPr>
          <w:rFonts w:ascii="Times New Roman" w:hAnsi="Times New Roman" w:cs="Times New Roman"/>
          <w:sz w:val="28"/>
          <w:szCs w:val="28"/>
        </w:rPr>
        <w:t xml:space="preserve">Исследование общего уровня и отдельных показателей готовности обучающихся к переходу на новый образовательный уровень проводилось с использованием  следующего </w:t>
      </w:r>
      <w:r w:rsidRPr="000A54BE">
        <w:rPr>
          <w:rFonts w:ascii="Times New Roman" w:hAnsi="Times New Roman" w:cs="Times New Roman"/>
          <w:b/>
          <w:sz w:val="28"/>
          <w:szCs w:val="28"/>
        </w:rPr>
        <w:t>диагностического</w:t>
      </w:r>
      <w:r w:rsidRPr="000A54BE">
        <w:rPr>
          <w:rFonts w:ascii="Times New Roman" w:hAnsi="Times New Roman" w:cs="Times New Roman"/>
          <w:sz w:val="28"/>
          <w:szCs w:val="28"/>
        </w:rPr>
        <w:t xml:space="preserve"> </w:t>
      </w:r>
      <w:r w:rsidRPr="000A54BE">
        <w:rPr>
          <w:rFonts w:ascii="Times New Roman" w:hAnsi="Times New Roman" w:cs="Times New Roman"/>
          <w:b/>
          <w:sz w:val="28"/>
          <w:szCs w:val="28"/>
        </w:rPr>
        <w:t>инструментария: Семаго Н., Семаго М. Психолого-педагогическая оценка готовности ребенка к началу школьного обучения</w:t>
      </w:r>
      <w:r w:rsidRPr="000A54BE">
        <w:rPr>
          <w:rFonts w:ascii="Times New Roman" w:hAnsi="Times New Roman" w:cs="Times New Roman"/>
          <w:sz w:val="28"/>
          <w:szCs w:val="28"/>
        </w:rPr>
        <w:t xml:space="preserve"> (в групповой форме). Методика позволяет оценить у обучающихся старшего дошкольного возраста уровень сформированности предпосылок к учебной деятельности: возможность работать в соответствии с фронтальной инструкцией, умение самостоятельно действовать по образцу и осуществлять контроль, наличие определенного уровня работоспособности, а также умение вовремя остановиться в выполнении того или иного задания и переключиться на выполнение следующего; операций звукобуквенного анализа, соотнесение числа и количества, сформированность представлений «больше-меньше». Индивидуально проводилось </w:t>
      </w:r>
      <w:r w:rsidRPr="000A54BE">
        <w:rPr>
          <w:rFonts w:ascii="Times New Roman" w:hAnsi="Times New Roman" w:cs="Times New Roman"/>
          <w:b/>
          <w:sz w:val="28"/>
          <w:szCs w:val="28"/>
        </w:rPr>
        <w:t>изучение мотивов учебной деятельности по методике М.Р.Гинзбурга,</w:t>
      </w:r>
      <w:r w:rsidRPr="000A54BE">
        <w:rPr>
          <w:rFonts w:ascii="Times New Roman" w:hAnsi="Times New Roman" w:cs="Times New Roman"/>
          <w:sz w:val="28"/>
          <w:szCs w:val="28"/>
        </w:rPr>
        <w:t xml:space="preserve"> исследование уровня сформированности «внутренней позиции школьника» и выявление характера ориентации на школьно-учебную действительность» с использованием </w:t>
      </w:r>
      <w:r w:rsidRPr="000A54BE">
        <w:rPr>
          <w:rFonts w:ascii="Times New Roman" w:hAnsi="Times New Roman" w:cs="Times New Roman"/>
          <w:b/>
          <w:sz w:val="28"/>
          <w:szCs w:val="28"/>
        </w:rPr>
        <w:t>стандартной беседы Т.А.Нежновой</w:t>
      </w:r>
      <w:r w:rsidRPr="000A54BE">
        <w:rPr>
          <w:rFonts w:ascii="Times New Roman" w:hAnsi="Times New Roman" w:cs="Times New Roman"/>
          <w:sz w:val="28"/>
          <w:szCs w:val="28"/>
        </w:rPr>
        <w:t xml:space="preserve">, </w:t>
      </w:r>
      <w:r w:rsidRPr="000A54BE">
        <w:rPr>
          <w:rFonts w:ascii="Times New Roman" w:hAnsi="Times New Roman" w:cs="Times New Roman"/>
          <w:b/>
          <w:sz w:val="28"/>
          <w:szCs w:val="28"/>
        </w:rPr>
        <w:t>исследование самооценки по методике В.Щур «Лесенка».</w:t>
      </w:r>
      <w:r w:rsidRPr="000A54BE">
        <w:rPr>
          <w:rFonts w:ascii="Times New Roman" w:hAnsi="Times New Roman" w:cs="Times New Roman"/>
          <w:sz w:val="28"/>
          <w:szCs w:val="28"/>
        </w:rPr>
        <w:t xml:space="preserve"> В психодиагностическом исследовании приняло участие 100% обучающихся, переходящих на новый образовательный уровень в 2019 году из компенсирующей группы для детей с тяжелыми нарушениями речи </w:t>
      </w:r>
      <w:r w:rsidRPr="000A54BE">
        <w:rPr>
          <w:rFonts w:ascii="Times New Roman" w:hAnsi="Times New Roman" w:cs="Times New Roman"/>
          <w:color w:val="000000"/>
          <w:sz w:val="28"/>
          <w:szCs w:val="28"/>
        </w:rPr>
        <w:t xml:space="preserve">№7, общеразвивающей группе для образования нормативно развивающихся детей №9 и комбинированной группы для образования нормативно развивающихся детей и детей с тяжелыми нарушениями речи №10. </w:t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4BE" w:rsidRPr="000A54BE" w:rsidRDefault="000A54BE" w:rsidP="000A54B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color w:val="000000"/>
          <w:sz w:val="28"/>
          <w:szCs w:val="28"/>
        </w:rPr>
        <w:t>Динамика общего уровня готовности к школе в течение 2018-2019 учебного года по группам представлена в таблицах 1, 2, 3. Динамика общего уровня готовности</w:t>
      </w:r>
      <w:r w:rsidRPr="000A54BE">
        <w:rPr>
          <w:rFonts w:ascii="Times New Roman" w:hAnsi="Times New Roman" w:cs="Times New Roman"/>
          <w:sz w:val="28"/>
          <w:szCs w:val="28"/>
        </w:rPr>
        <w:t xml:space="preserve"> к школе всех выпускников дошкольной образовательной организации отражена в таблице </w:t>
      </w:r>
      <w:r w:rsidRPr="000A54BE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54BE" w:rsidRPr="000A54BE" w:rsidRDefault="000A54BE" w:rsidP="000A54B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Таблица 1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4BE">
        <w:rPr>
          <w:rFonts w:ascii="Times New Roman" w:hAnsi="Times New Roman" w:cs="Times New Roman"/>
          <w:b/>
          <w:sz w:val="28"/>
          <w:szCs w:val="28"/>
        </w:rPr>
        <w:t>Динамика общего уровня готовности детей к обучению в школе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4BE">
        <w:rPr>
          <w:rFonts w:ascii="Times New Roman" w:hAnsi="Times New Roman" w:cs="Times New Roman"/>
          <w:b/>
          <w:color w:val="000000"/>
          <w:sz w:val="28"/>
          <w:szCs w:val="28"/>
        </w:rPr>
        <w:t>в группе компенсирующего вида для детей с тяжелыми нарушениями речи №7 в 2018-2019 учебном году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43"/>
        <w:gridCol w:w="1843"/>
        <w:gridCol w:w="1843"/>
        <w:gridCol w:w="1842"/>
      </w:tblGrid>
      <w:tr w:rsidR="000A54BE" w:rsidRPr="000A54BE" w:rsidTr="000A54B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ГОШ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Предварительное ПДИ</w:t>
            </w:r>
          </w:p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Окончательное ПДИ</w:t>
            </w:r>
          </w:p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</w:t>
            </w:r>
          </w:p>
        </w:tc>
      </w:tr>
      <w:tr w:rsidR="000A54BE" w:rsidRPr="000A54BE" w:rsidTr="000A54BE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Отн.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Отн. (%)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89%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не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 xml:space="preserve">У большинства обучающихся группы №7 отмечается положительная динамика в развитии компонентов школьной зрелости. 100% детей обладают </w:t>
      </w:r>
      <w:r w:rsidRPr="000A54BE">
        <w:rPr>
          <w:rFonts w:ascii="Times New Roman" w:hAnsi="Times New Roman" w:cs="Times New Roman"/>
          <w:i/>
          <w:sz w:val="28"/>
          <w:szCs w:val="28"/>
        </w:rPr>
        <w:t xml:space="preserve">адекватной </w:t>
      </w:r>
      <w:r w:rsidRPr="000A54BE">
        <w:rPr>
          <w:rFonts w:ascii="Times New Roman" w:hAnsi="Times New Roman" w:cs="Times New Roman"/>
          <w:i/>
          <w:sz w:val="28"/>
          <w:szCs w:val="28"/>
        </w:rPr>
        <w:lastRenderedPageBreak/>
        <w:t>самооценкой</w:t>
      </w:r>
      <w:r w:rsidRPr="000A54BE">
        <w:rPr>
          <w:rFonts w:ascii="Times New Roman" w:hAnsi="Times New Roman" w:cs="Times New Roman"/>
          <w:sz w:val="28"/>
          <w:szCs w:val="28"/>
        </w:rPr>
        <w:t xml:space="preserve">, проявляют интерес к будущей школьной жизни, </w:t>
      </w:r>
      <w:r w:rsidRPr="000A54BE">
        <w:rPr>
          <w:rFonts w:ascii="Times New Roman" w:hAnsi="Times New Roman" w:cs="Times New Roman"/>
          <w:i/>
          <w:sz w:val="28"/>
          <w:szCs w:val="28"/>
        </w:rPr>
        <w:t>демонстрируют положительную мотивацию</w:t>
      </w:r>
      <w:r w:rsidRPr="000A54BE">
        <w:rPr>
          <w:rFonts w:ascii="Times New Roman" w:hAnsi="Times New Roman" w:cs="Times New Roman"/>
          <w:sz w:val="28"/>
          <w:szCs w:val="28"/>
        </w:rPr>
        <w:t xml:space="preserve">, в структуре которой  у 3 детей (17%)  преобладают учебно-познавательные мотивы, у 8 (45%) – широкие социальные мотивы, у 4 (22%) – мотив получения высокой отметки, у 2(11%) позиционный мотив. </w:t>
      </w:r>
    </w:p>
    <w:p w:rsidR="000A54BE" w:rsidRPr="000A54BE" w:rsidRDefault="000A54BE" w:rsidP="000A54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0A54BE">
        <w:rPr>
          <w:rFonts w:ascii="Times New Roman" w:hAnsi="Times New Roman" w:cs="Times New Roman"/>
          <w:i/>
          <w:sz w:val="28"/>
          <w:szCs w:val="28"/>
        </w:rPr>
        <w:t>Внутренняя позиция школьника</w:t>
      </w:r>
      <w:r w:rsidRPr="000A54BE">
        <w:rPr>
          <w:rFonts w:ascii="Times New Roman" w:hAnsi="Times New Roman" w:cs="Times New Roman"/>
          <w:sz w:val="28"/>
          <w:szCs w:val="28"/>
        </w:rPr>
        <w:t xml:space="preserve"> на высоком уровне сформирована у 1 (6 %) детей, у 9 (50%) сформирована на среднем уровне, у 8 (44%)  в начальной стадии формирования. Качественные характеристики уровня сформированности внутренней позиции обусловлены особенностями дошкольного возраста и является нормой. </w:t>
      </w:r>
      <w:r w:rsidRPr="000A54BE">
        <w:rPr>
          <w:rFonts w:ascii="Times New Roman" w:hAnsi="Times New Roman" w:cs="Times New Roman"/>
          <w:i/>
          <w:sz w:val="28"/>
          <w:szCs w:val="28"/>
        </w:rPr>
        <w:t>Уровень тревожности</w:t>
      </w:r>
      <w:r w:rsidRPr="000A54BE">
        <w:rPr>
          <w:rFonts w:ascii="Times New Roman" w:hAnsi="Times New Roman" w:cs="Times New Roman"/>
          <w:sz w:val="28"/>
          <w:szCs w:val="28"/>
        </w:rPr>
        <w:t xml:space="preserve">  у 100% детей находится в границах средних значений. </w:t>
      </w:r>
      <w:r w:rsidRPr="000A54BE">
        <w:rPr>
          <w:rFonts w:ascii="Times New Roman" w:hAnsi="Times New Roman" w:cs="Times New Roman"/>
          <w:strike/>
          <w:sz w:val="16"/>
          <w:szCs w:val="16"/>
        </w:rPr>
        <w:t xml:space="preserve">  </w:t>
      </w:r>
    </w:p>
    <w:p w:rsidR="000A54BE" w:rsidRPr="000A54BE" w:rsidRDefault="000A54BE" w:rsidP="000A54B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Таблица 2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BE">
        <w:rPr>
          <w:rFonts w:ascii="Times New Roman" w:hAnsi="Times New Roman" w:cs="Times New Roman"/>
          <w:b/>
          <w:sz w:val="28"/>
          <w:szCs w:val="28"/>
        </w:rPr>
        <w:t xml:space="preserve"> Динамика общего уровня готовности детей к обучению в школе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BE">
        <w:rPr>
          <w:rFonts w:ascii="Times New Roman" w:hAnsi="Times New Roman" w:cs="Times New Roman"/>
          <w:b/>
          <w:sz w:val="28"/>
          <w:szCs w:val="28"/>
        </w:rPr>
        <w:t>в общеразвивающей группе №9 в 2018-2019 учебном году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43"/>
        <w:gridCol w:w="1843"/>
        <w:gridCol w:w="1843"/>
        <w:gridCol w:w="1842"/>
      </w:tblGrid>
      <w:tr w:rsidR="000A54BE" w:rsidRPr="000A54BE" w:rsidTr="000A54B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ГОШ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Предварительное ПДИ</w:t>
            </w:r>
          </w:p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Окончательное ПДИ</w:t>
            </w:r>
          </w:p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0A54BE" w:rsidRPr="000A54BE" w:rsidTr="000A54BE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Отн.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Отн. (%)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Условно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Условно не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Не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54BE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54BE" w:rsidRPr="000A54BE" w:rsidTr="000A54BE">
        <w:trPr>
          <w:trHeight w:val="3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A54BE" w:rsidRP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54BE" w:rsidRPr="000A54BE" w:rsidRDefault="000A54BE" w:rsidP="000A54B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 xml:space="preserve">Самооценка: 20 (95) детей группы №9 обладают адекватной </w:t>
      </w:r>
      <w:r w:rsidRPr="000A54BE">
        <w:rPr>
          <w:rFonts w:ascii="Times New Roman" w:hAnsi="Times New Roman" w:cs="Times New Roman"/>
          <w:i/>
          <w:sz w:val="28"/>
          <w:szCs w:val="28"/>
        </w:rPr>
        <w:t>самооценкой</w:t>
      </w:r>
      <w:r w:rsidRPr="000A54BE">
        <w:rPr>
          <w:rFonts w:ascii="Times New Roman" w:hAnsi="Times New Roman" w:cs="Times New Roman"/>
          <w:sz w:val="28"/>
          <w:szCs w:val="28"/>
        </w:rPr>
        <w:t xml:space="preserve">, 1 (5%) - завышенной. </w:t>
      </w:r>
      <w:r w:rsidRPr="000A54BE">
        <w:rPr>
          <w:rFonts w:ascii="Times New Roman" w:hAnsi="Times New Roman" w:cs="Times New Roman"/>
          <w:i/>
          <w:sz w:val="28"/>
          <w:szCs w:val="28"/>
        </w:rPr>
        <w:t>Тревожност</w:t>
      </w:r>
      <w:r w:rsidRPr="000A54BE">
        <w:rPr>
          <w:rFonts w:ascii="Times New Roman" w:hAnsi="Times New Roman" w:cs="Times New Roman"/>
          <w:sz w:val="28"/>
          <w:szCs w:val="28"/>
        </w:rPr>
        <w:t xml:space="preserve">ь: высокий уровень тревожности отсутствует, 21 (100%) детей отмечается средний уровень тревожности. 19 (90%) положительно относятся к будущей школьной жизни, у 7 (31%)  внутренняя позиция школьника сформирована на высоком уровне, у 12 (59%) – на среднем уровне, у 3 (14%) – на начальной стадии формирования. В структуре </w:t>
      </w:r>
      <w:r w:rsidRPr="000A54BE">
        <w:rPr>
          <w:rFonts w:ascii="Times New Roman" w:hAnsi="Times New Roman" w:cs="Times New Roman"/>
          <w:i/>
          <w:sz w:val="28"/>
          <w:szCs w:val="28"/>
        </w:rPr>
        <w:t>ведущих мотивов</w:t>
      </w:r>
      <w:r w:rsidRPr="000A54BE">
        <w:rPr>
          <w:rFonts w:ascii="Times New Roman" w:hAnsi="Times New Roman" w:cs="Times New Roman"/>
          <w:sz w:val="28"/>
          <w:szCs w:val="28"/>
        </w:rPr>
        <w:t xml:space="preserve"> учения у 6  (27 %) обучающихся преобладают учебно-познавательные, у 8 (36%) - социальные, у 4 (18%) – мотив получения высокой отметки, у 1 (4%) – игровые, у 1 (4%) – внешние, у 2(10%) ведущие мотивы не дифференцируются.</w:t>
      </w:r>
    </w:p>
    <w:p w:rsidR="000A54BE" w:rsidRPr="000A54BE" w:rsidRDefault="000A54BE" w:rsidP="000A54B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Таблица 3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BE">
        <w:rPr>
          <w:rFonts w:ascii="Times New Roman" w:hAnsi="Times New Roman" w:cs="Times New Roman"/>
          <w:b/>
          <w:sz w:val="28"/>
          <w:szCs w:val="28"/>
        </w:rPr>
        <w:t>Динамика общего уровня готовности детей к обучению в школе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BE">
        <w:rPr>
          <w:rFonts w:ascii="Times New Roman" w:hAnsi="Times New Roman" w:cs="Times New Roman"/>
          <w:b/>
          <w:sz w:val="28"/>
          <w:szCs w:val="28"/>
        </w:rPr>
        <w:t>в комбинированной группе для образования нормативно развивающихся детей и детей с тяжелыми нарушениями речи №10 в 2018-2019 учебном году</w:t>
      </w:r>
    </w:p>
    <w:p w:rsidR="000A54BE" w:rsidRP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43"/>
        <w:gridCol w:w="1843"/>
        <w:gridCol w:w="1843"/>
        <w:gridCol w:w="1842"/>
      </w:tblGrid>
      <w:tr w:rsidR="000A54BE" w:rsidRPr="000A54BE" w:rsidTr="000A54B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ГОШ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Предварительное ПДИ</w:t>
            </w:r>
          </w:p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Окончательное ПДИ</w:t>
            </w:r>
          </w:p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0A54BE" w:rsidRPr="000A54BE" w:rsidTr="000A54BE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Отн.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Отн. (%)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Условно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Условно не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Не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54BE" w:rsidRPr="000A54BE" w:rsidTr="000A54BE">
        <w:trPr>
          <w:trHeight w:val="3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A54BE" w:rsidRPr="000A54BE" w:rsidRDefault="000A54BE" w:rsidP="000A54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 xml:space="preserve">100 % детей группы №10 обладают </w:t>
      </w:r>
      <w:r w:rsidRPr="000A54BE">
        <w:rPr>
          <w:rFonts w:ascii="Times New Roman" w:hAnsi="Times New Roman" w:cs="Times New Roman"/>
          <w:i/>
          <w:sz w:val="28"/>
          <w:szCs w:val="28"/>
        </w:rPr>
        <w:t>адекватной самооценкой</w:t>
      </w:r>
      <w:r w:rsidRPr="000A54BE">
        <w:rPr>
          <w:rFonts w:ascii="Times New Roman" w:hAnsi="Times New Roman" w:cs="Times New Roman"/>
          <w:sz w:val="28"/>
          <w:szCs w:val="28"/>
        </w:rPr>
        <w:t xml:space="preserve">. Тревожность: высокий и низкий уровни тревожности отсутствуют, у 20 (100%) детей отмечается </w:t>
      </w:r>
      <w:r w:rsidRPr="000A54BE">
        <w:rPr>
          <w:rFonts w:ascii="Times New Roman" w:hAnsi="Times New Roman" w:cs="Times New Roman"/>
          <w:sz w:val="28"/>
          <w:szCs w:val="28"/>
        </w:rPr>
        <w:lastRenderedPageBreak/>
        <w:t>средний уровень тревожности. 75% положительно относятся к будущей школьной жизни, у 2 (11%) внутренняя позиция школьника сформирована на высоком уровне, у 10 (52%) – на среднем уровне, у 7 (37%) – на начальной стадии формирования. В структуре ведущих мотивов учения у 4  (21%) обучающихся преобладают учебно-познавательные, у 5 (32%) - социальные, у 5 (26%) – мотив получения высокой отметки, у 2 (11%) – внешние, у 2 (11%) ведущие мотивы не дифференцируются, 1 (5%) – позиционные мотивы.</w:t>
      </w:r>
    </w:p>
    <w:p w:rsidR="000A54BE" w:rsidRPr="000A54BE" w:rsidRDefault="000A54BE" w:rsidP="000A54B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Таблица 4</w:t>
      </w: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BE">
        <w:rPr>
          <w:rFonts w:ascii="Times New Roman" w:hAnsi="Times New Roman" w:cs="Times New Roman"/>
          <w:b/>
          <w:sz w:val="28"/>
          <w:szCs w:val="28"/>
        </w:rPr>
        <w:t>Динамика показателей готовности обучающихся к переходу на новый образовательный уровень  в 2018-2019 учебном году</w:t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43"/>
        <w:gridCol w:w="1843"/>
        <w:gridCol w:w="1843"/>
        <w:gridCol w:w="1842"/>
      </w:tblGrid>
      <w:tr w:rsidR="000A54BE" w:rsidRPr="000A54BE" w:rsidTr="000A54BE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ГОШ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Предварительное ПДИ</w:t>
            </w:r>
          </w:p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Окончательное ПДИ</w:t>
            </w:r>
          </w:p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0A54BE" w:rsidRPr="000A54BE" w:rsidTr="000A54BE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Отн.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Абс.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Отн. (%)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Условно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Условно не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Не готов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A54BE" w:rsidRPr="000A54BE" w:rsidTr="000A54B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BE" w:rsidRPr="000A54BE" w:rsidRDefault="000A54BE" w:rsidP="000A54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B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Диаграмма 1. Преобладающие мотивы учебной деятельности по ДОУ</w:t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4960" cy="23825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Диаграмма 2. Степень сформированности внутренней позиции школьника по ДОУ</w:t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0465" cy="18224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Диаграмма 3. Мониторинг готовности детей к обучению в школе по ДОУ</w:t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Начало года</w:t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0395" cy="29559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Конец года</w:t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5245" cy="2585156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54BE" w:rsidRPr="000A54BE" w:rsidRDefault="000A54BE" w:rsidP="000A54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Таким образом, у всех воспитанников дошкольной образовательной организации под влиянием комплекса факторов прослеживается положительная динамика в развитии показателей школьной зрелости, однако в ряде случаев она является незначительной. Средний балл скрининговой оценки готовности детей к переходу на новый образовательный уровень составляет 18 баллов и соответствует позиции «готовности». Таким образом, у 97 % выпускников компоненты школьной зрелости соответствуют значениям «готовности» и «условной готовности», что позволяет дать благоприятный прогноз их адаптации на новом этапе обучения и освоения программы начального общего образования.</w:t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>30.05.2019</w:t>
      </w:r>
    </w:p>
    <w:p w:rsidR="000A54BE" w:rsidRPr="000A54BE" w:rsidRDefault="000A54BE" w:rsidP="000A54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E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0A54BE">
        <w:rPr>
          <w:rFonts w:ascii="Times New Roman" w:hAnsi="Times New Roman" w:cs="Times New Roman"/>
          <w:sz w:val="28"/>
          <w:szCs w:val="28"/>
        </w:rPr>
        <w:tab/>
      </w:r>
      <w:r w:rsidRPr="000A54BE">
        <w:rPr>
          <w:rFonts w:ascii="Times New Roman" w:hAnsi="Times New Roman" w:cs="Times New Roman"/>
          <w:sz w:val="28"/>
          <w:szCs w:val="28"/>
        </w:rPr>
        <w:tab/>
      </w:r>
      <w:r w:rsidRPr="000A54BE">
        <w:rPr>
          <w:rFonts w:ascii="Times New Roman" w:hAnsi="Times New Roman" w:cs="Times New Roman"/>
          <w:sz w:val="28"/>
          <w:szCs w:val="28"/>
        </w:rPr>
        <w:tab/>
      </w:r>
      <w:r w:rsidRPr="000A54BE">
        <w:rPr>
          <w:rFonts w:ascii="Times New Roman" w:hAnsi="Times New Roman" w:cs="Times New Roman"/>
          <w:sz w:val="28"/>
          <w:szCs w:val="28"/>
        </w:rPr>
        <w:tab/>
      </w:r>
      <w:r w:rsidRPr="000A54B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A54BE">
        <w:rPr>
          <w:rFonts w:ascii="Times New Roman" w:hAnsi="Times New Roman" w:cs="Times New Roman"/>
          <w:sz w:val="28"/>
          <w:szCs w:val="28"/>
        </w:rPr>
        <w:t>И.А.Кузьмичева</w:t>
      </w:r>
    </w:p>
    <w:p w:rsidR="00000000" w:rsidRPr="000A54BE" w:rsidRDefault="000A54BE" w:rsidP="000A54BE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00000" w:rsidRPr="000A54BE" w:rsidSect="000A5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FELayout/>
  </w:compat>
  <w:rsids>
    <w:rsidRoot w:val="000A54BE"/>
    <w:rsid w:val="000A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927536231884065E-2"/>
          <c:y val="4.1666666666666664E-2"/>
          <c:w val="0.74057971014492763"/>
          <c:h val="0.7333333333333333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учебно-познавательные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социальные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оценки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позиционные</c:v>
                </c:pt>
              </c:strCache>
            </c:strRef>
          </c:tx>
          <c:spPr>
            <a:solidFill>
              <a:srgbClr val="CCFFFF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игровые</c:v>
                </c:pt>
              </c:strCache>
            </c:strRef>
          </c:tx>
          <c:spPr>
            <a:solidFill>
              <a:srgbClr val="660066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внешние</c:v>
                </c:pt>
              </c:strCache>
            </c:strRef>
          </c:tx>
          <c:spPr>
            <a:solidFill>
              <a:srgbClr val="FF8080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не оформлены</c:v>
                </c:pt>
              </c:strCache>
            </c:strRef>
          </c:tx>
          <c:spPr>
            <a:solidFill>
              <a:srgbClr val="0066CC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gapDepth val="0"/>
        <c:shape val="box"/>
        <c:axId val="106957056"/>
        <c:axId val="106987520"/>
        <c:axId val="0"/>
      </c:bar3DChart>
      <c:catAx>
        <c:axId val="10695705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987520"/>
        <c:crosses val="autoZero"/>
        <c:auto val="1"/>
        <c:lblAlgn val="ctr"/>
        <c:lblOffset val="100"/>
        <c:tickLblSkip val="1"/>
        <c:tickMarkSkip val="1"/>
      </c:catAx>
      <c:valAx>
        <c:axId val="10698752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957056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3.9130434782608699E-2"/>
          <c:y val="0.82083333333333341"/>
          <c:w val="0.95072463768115967"/>
          <c:h val="0.17083333333333336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474708171206233E-2"/>
          <c:y val="4.9450549450549455E-2"/>
          <c:w val="0.92607003891050599"/>
          <c:h val="0.6098901098901099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56">
              <a:solidFill>
                <a:srgbClr val="000000"/>
              </a:solidFill>
              <a:prstDash val="solid"/>
            </a:ln>
          </c:spPr>
          <c:dLbls>
            <c:spPr>
              <a:noFill/>
              <a:ln w="25312">
                <a:noFill/>
              </a:ln>
            </c:spPr>
            <c:txPr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Значения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56">
              <a:solidFill>
                <a:srgbClr val="000000"/>
              </a:solidFill>
              <a:prstDash val="solid"/>
            </a:ln>
          </c:spPr>
          <c:dLbls>
            <c:spPr>
              <a:noFill/>
              <a:ln w="25312">
                <a:noFill/>
              </a:ln>
            </c:spPr>
            <c:txPr>
              <a:bodyPr/>
              <a:lstStyle/>
              <a:p>
                <a:pPr>
                  <a:defRPr sz="13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Значения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56">
              <a:solidFill>
                <a:srgbClr val="000000"/>
              </a:solidFill>
              <a:prstDash val="solid"/>
            </a:ln>
          </c:spPr>
          <c:dLbls>
            <c:spPr>
              <a:noFill/>
              <a:ln w="25312">
                <a:noFill/>
              </a:ln>
            </c:spPr>
            <c:txPr>
              <a:bodyPr/>
              <a:lstStyle/>
              <a:p>
                <a:pPr>
                  <a:defRPr sz="13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Значения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gapDepth val="0"/>
        <c:shape val="box"/>
        <c:axId val="75272192"/>
        <c:axId val="75273728"/>
        <c:axId val="0"/>
      </c:bar3DChart>
      <c:catAx>
        <c:axId val="75272192"/>
        <c:scaling>
          <c:orientation val="minMax"/>
        </c:scaling>
        <c:axPos val="b"/>
        <c:numFmt formatCode="General" sourceLinked="1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273728"/>
        <c:crosses val="autoZero"/>
        <c:auto val="1"/>
        <c:lblAlgn val="ctr"/>
        <c:lblOffset val="100"/>
        <c:tickLblSkip val="1"/>
        <c:tickMarkSkip val="1"/>
      </c:catAx>
      <c:valAx>
        <c:axId val="75273728"/>
        <c:scaling>
          <c:orientation val="minMax"/>
        </c:scaling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272192"/>
        <c:crosses val="autoZero"/>
        <c:crossBetween val="between"/>
      </c:valAx>
      <c:spPr>
        <a:noFill/>
        <a:ln w="25312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sz="91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9844357976653695"/>
          <c:y val="0.85164835164835173"/>
          <c:w val="0.60311284046692593"/>
          <c:h val="0.13186813186813193"/>
        </c:manualLayout>
      </c:layout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516483516483553E-2"/>
          <c:y val="0.12292358803986711"/>
          <c:w val="0.45494505494505494"/>
          <c:h val="0.6877076411960132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4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</c:v>
                </c:pt>
                <c:pt idx="1">
                  <c:v>32</c:v>
                </c:pt>
                <c:pt idx="2">
                  <c:v>22</c:v>
                </c:pt>
                <c:pt idx="3">
                  <c:v>18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7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9340659340659"/>
          <c:y val="0.30897009966777422"/>
          <c:w val="0.32087912087912096"/>
          <c:h val="0.32225913621262464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8.3516483516483553E-2"/>
          <c:y val="0.12292358803986711"/>
          <c:w val="0.45714285714285724"/>
          <c:h val="0.69102990033222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Готов</c:v>
                </c:pt>
                <c:pt idx="1">
                  <c:v>Условно готов</c:v>
                </c:pt>
                <c:pt idx="2">
                  <c:v>Условно не готов</c:v>
                </c:pt>
                <c:pt idx="3">
                  <c:v>Не готов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73</c:v>
                </c:pt>
                <c:pt idx="1">
                  <c:v>24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9340659340659"/>
          <c:y val="0.29900332225913628"/>
          <c:w val="0.32087912087912096"/>
          <c:h val="0.3222591362126246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173310</dc:creator>
  <cp:keywords/>
  <dc:description/>
  <cp:lastModifiedBy>173310</cp:lastModifiedBy>
  <cp:revision>2</cp:revision>
  <dcterms:created xsi:type="dcterms:W3CDTF">2019-06-13T08:25:00Z</dcterms:created>
  <dcterms:modified xsi:type="dcterms:W3CDTF">2019-06-13T08:29:00Z</dcterms:modified>
</cp:coreProperties>
</file>